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9" w:name="описание-мер-защиты-информации"/>
    <w:p>
      <w:pPr>
        <w:pStyle w:val="Heading1"/>
      </w:pPr>
      <w:r>
        <w:t xml:space="preserve">ОПИСАНИЕ МЕР ЗАЩИТЫ ИНФОРМАЦИИ</w:t>
      </w:r>
    </w:p>
    <w:bookmarkStart w:id="10" w:name="программы-для-эвм-прореестр"/>
    <w:p>
      <w:pPr>
        <w:pStyle w:val="Heading2"/>
      </w:pPr>
      <w:r>
        <w:t xml:space="preserve">программы для ЭВМ «ПроРеестр»</w:t>
      </w:r>
    </w:p>
    <w:bookmarkStart w:id="9" w:name="Xf8f029fbe02dc9961412d5501eedf02078df001"/>
    <w:p>
      <w:pPr>
        <w:pStyle w:val="Heading3"/>
      </w:pPr>
      <w:r>
        <w:t xml:space="preserve">Технический документ для проверок Роскомнадзора, ФСТЭК и тендеров</w:t>
      </w:r>
    </w:p>
    <w:p>
      <w:pPr>
        <w:pStyle w:val="FirstParagraph"/>
      </w:pPr>
      <w:r>
        <w:rPr>
          <w:b/>
          <w:bCs/>
        </w:rPr>
        <w:t xml:space="preserve">Версия документа:</w:t>
      </w:r>
      <w:r>
        <w:t xml:space="preserve"> </w:t>
      </w:r>
      <w:r>
        <w:t xml:space="preserve">1.0</w:t>
      </w:r>
      <w:r>
        <w:t xml:space="preserve"> </w:t>
      </w:r>
      <w:r>
        <w:rPr>
          <w:b/>
          <w:bCs/>
        </w:rPr>
        <w:t xml:space="preserve">Дата:</w:t>
      </w:r>
      <w:r>
        <w:t xml:space="preserve"> </w:t>
      </w:r>
      <w:r>
        <w:t xml:space="preserve">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</w:t>
      </w:r>
      <w:r>
        <w:t xml:space="preserve"> </w:t>
      </w:r>
      <w:r>
        <w:rPr>
          <w:b/>
          <w:bCs/>
        </w:rPr>
        <w:t xml:space="preserve">Производитель ПО:</w:t>
      </w:r>
      <w:r>
        <w:t xml:space="preserve"> </w:t>
      </w:r>
      <w:r>
        <w:t xml:space="preserve">ИП Галимов Ринат _________ (ОГРНИП</w:t>
      </w:r>
      <w:r>
        <w:t xml:space="preserve"> </w:t>
      </w:r>
      <w:r>
        <w:rPr>
          <w:b/>
          <w:bCs/>
          <w:i/>
          <w:iCs/>
        </w:rPr>
        <w:t xml:space="preserve">, ИНН</w:t>
      </w:r>
      <w:r>
        <w:rPr>
          <w:b/>
          <w:bCs/>
          <w:i/>
          <w:iCs/>
        </w:rPr>
        <w:t xml:space="preserve"> </w:t>
      </w:r>
      <w:r>
        <w:t xml:space="preserve">)</w:t>
      </w:r>
    </w:p>
    <w:p>
      <w:r>
        <w:pict>
          <v:rect style="width:0;height:1.5pt" o:hralign="center" o:hrstd="t" o:hr="t"/>
        </w:pict>
      </w:r>
    </w:p>
    <w:bookmarkEnd w:id="9"/>
    <w:bookmarkEnd w:id="10"/>
    <w:bookmarkStart w:id="11" w:name="общие-сведения-о-программе"/>
    <w:p>
      <w:pPr>
        <w:pStyle w:val="Heading2"/>
      </w:pPr>
      <w:r>
        <w:t xml:space="preserve">1. ОБЩИЕ СВЕДЕНИЯ О ПРОГРАММЕ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Параметр</w:t>
            </w:r>
          </w:p>
        </w:tc>
        <w:tc>
          <w:tcPr/>
          <w:p>
            <w:pPr>
              <w:pStyle w:val="Compact"/>
            </w:pPr>
            <w:r>
              <w:t xml:space="preserve">Значение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Полное наименование</w:t>
            </w:r>
          </w:p>
        </w:tc>
        <w:tc>
          <w:tcPr/>
          <w:p>
            <w:pPr>
              <w:pStyle w:val="Compact"/>
            </w:pPr>
            <w:r>
              <w:t xml:space="preserve">Программа автоматической регистрации входящих и исходящих писем «ПроРеестр»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Производитель</w:t>
            </w:r>
          </w:p>
        </w:tc>
        <w:tc>
          <w:tcPr/>
          <w:p>
            <w:pPr>
              <w:pStyle w:val="Compact"/>
            </w:pPr>
            <w:r>
              <w:t xml:space="preserve">ИП Галимов Ринат 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Свидетельство о государственной регистрации программы для ЭВМ</w:t>
            </w:r>
          </w:p>
        </w:tc>
        <w:tc>
          <w:tcPr/>
          <w:p>
            <w:pPr>
              <w:pStyle w:val="Compact"/>
            </w:pPr>
            <w:r>
              <w:t xml:space="preserve">№ _______ от «</w:t>
            </w:r>
            <w:r>
              <w:rPr>
                <w:b/>
                <w:bCs/>
                <w:i/>
                <w:iCs/>
              </w:rPr>
              <w:t xml:space="preserve">»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t xml:space="preserve">______ 2026 г.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Архитектура</w:t>
            </w:r>
          </w:p>
        </w:tc>
        <w:tc>
          <w:tcPr/>
          <w:p>
            <w:pPr>
              <w:pStyle w:val="Compact"/>
            </w:pPr>
            <w:r>
              <w:t xml:space="preserve">Web-приложение, клиент-серверная (Python Flask + SQLite)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Серверная ОС</w:t>
            </w:r>
          </w:p>
        </w:tc>
        <w:tc>
          <w:tcPr/>
          <w:p>
            <w:pPr>
              <w:pStyle w:val="Compact"/>
            </w:pPr>
            <w:r>
              <w:t xml:space="preserve">Windows 10/11/Server 2016+, Linux Ubuntu 22.04+</w:t>
            </w:r>
          </w:p>
        </w:tc>
      </w:tr>
      <w:tr>
        <w:tc>
          <w:tcPr/>
          <w:p>
            <w:pPr>
              <w:pStyle w:val="Compact"/>
            </w:pPr>
            <w:r>
              <w:t xml:space="preserve">Тип развёртывания</w:t>
            </w:r>
          </w:p>
        </w:tc>
        <w:tc>
          <w:tcPr/>
          <w:p>
            <w:pPr>
              <w:pStyle w:val="Compact"/>
            </w:pPr>
            <w:r>
              <w:t xml:space="preserve">On-premise (на оборудовании Заказчика)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Передача данных третьим лицам</w:t>
            </w:r>
          </w:p>
        </w:tc>
        <w:tc>
          <w:tcPr/>
          <w:p>
            <w:pPr>
              <w:pStyle w:val="Compact"/>
            </w:pPr>
            <w:r>
              <w:t xml:space="preserve">Не осуществляется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категории-обрабатываемых-данных"/>
    <w:p>
      <w:pPr>
        <w:pStyle w:val="Heading2"/>
      </w:pPr>
      <w:r>
        <w:t xml:space="preserve">2. КАТЕГОРИИ ОБРАБАТЫВАЕМЫХ ДАННЫХ</w:t>
      </w:r>
    </w:p>
    <w:p>
      <w:pPr>
        <w:pStyle w:val="FirstParagraph"/>
      </w:pPr>
      <w:r>
        <w:t xml:space="preserve">2.1. Программа обрабатывает следующие категории персональных данных Заказчика: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Категория</w:t>
            </w:r>
          </w:p>
        </w:tc>
        <w:tc>
          <w:tcPr/>
          <w:p>
            <w:pPr>
              <w:pStyle w:val="Compact"/>
            </w:pPr>
            <w:r>
              <w:t xml:space="preserve">Состав</w:t>
            </w:r>
          </w:p>
        </w:tc>
      </w:tr>
      <w:tr>
        <w:tc>
          <w:tcPr/>
          <w:p>
            <w:pPr>
              <w:pStyle w:val="Compact"/>
            </w:pPr>
            <w:r>
              <w:t xml:space="preserve">Сотрудники Заказчика</w:t>
            </w:r>
          </w:p>
        </w:tc>
        <w:tc>
          <w:tcPr/>
          <w:p>
            <w:pPr>
              <w:pStyle w:val="Compact"/>
            </w:pPr>
            <w:r>
              <w:t xml:space="preserve">Логин, ФИО, должность, email, контактный телефон, хеш пароля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Внешние корреспонденты</w:t>
            </w:r>
          </w:p>
        </w:tc>
        <w:tc>
          <w:tcPr/>
          <w:p>
            <w:pPr>
              <w:pStyle w:val="Compact"/>
            </w:pPr>
            <w:r>
              <w:t xml:space="preserve">Email отправителя, ФИО (при указании), наименование организации, тема и текст сообщения, вложения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Граждане-заявители</w:t>
            </w:r>
          </w:p>
        </w:tc>
        <w:tc>
          <w:tcPr/>
          <w:p>
            <w:pPr>
              <w:pStyle w:val="Compact"/>
            </w:pPr>
            <w:r>
              <w:t xml:space="preserve">ФИО, контактные данные, текст обращения (по 59-ФЗ)</w:t>
            </w:r>
          </w:p>
        </w:tc>
      </w:tr>
    </w:tbl>
    <w:p>
      <w:pPr>
        <w:pStyle w:val="BodyText"/>
      </w:pPr>
      <w:r>
        <w:t xml:space="preserve">2.2.</w:t>
      </w:r>
      <w:r>
        <w:t xml:space="preserve"> </w:t>
      </w:r>
      <w:r>
        <w:rPr>
          <w:b/>
          <w:bCs/>
        </w:rPr>
        <w:t xml:space="preserve">Не обрабатываются:</w:t>
      </w:r>
      <w:r>
        <w:t xml:space="preserve"> </w:t>
      </w:r>
      <w:r>
        <w:t xml:space="preserve">- Биометрические данные;</w:t>
      </w:r>
      <w:r>
        <w:t xml:space="preserve"> </w:t>
      </w:r>
      <w:r>
        <w:t xml:space="preserve">- Специальные категории (раса, национальность, состояние здоровья, политические взгляды);</w:t>
      </w:r>
      <w:r>
        <w:t xml:space="preserve"> </w:t>
      </w:r>
      <w:r>
        <w:t xml:space="preserve">- Данные несовершеннолетних в качестве самостоятельной категории.</w:t>
      </w:r>
    </w:p>
    <w:p>
      <w:pPr>
        <w:pStyle w:val="BodyText"/>
      </w:pPr>
      <w:r>
        <w:t xml:space="preserve">2.3.</w:t>
      </w:r>
      <w:r>
        <w:t xml:space="preserve"> </w:t>
      </w:r>
      <w:r>
        <w:rPr>
          <w:b/>
          <w:bCs/>
        </w:rPr>
        <w:t xml:space="preserve">Уровень защищённости</w:t>
      </w:r>
      <w:r>
        <w:t xml:space="preserve"> </w:t>
      </w:r>
      <w:r>
        <w:t xml:space="preserve">— определяется в соответствии с Постановлением Правительства РФ от 01.11.2012 № 1119:</w:t>
      </w:r>
      <w:r>
        <w:t xml:space="preserve"> </w:t>
      </w:r>
      <w:r>
        <w:t xml:space="preserve">- Для типовой администрации до 100 000 субъектов ПД —</w:t>
      </w:r>
      <w:r>
        <w:t xml:space="preserve"> </w:t>
      </w:r>
      <w:r>
        <w:rPr>
          <w:b/>
          <w:bCs/>
        </w:rPr>
        <w:t xml:space="preserve">УЗ-3</w:t>
      </w:r>
      <w:r>
        <w:t xml:space="preserve"> </w:t>
      </w:r>
      <w:r>
        <w:t xml:space="preserve">или</w:t>
      </w:r>
      <w:r>
        <w:t xml:space="preserve"> </w:t>
      </w:r>
      <w:r>
        <w:rPr>
          <w:b/>
          <w:bCs/>
        </w:rPr>
        <w:t xml:space="preserve">УЗ-4</w:t>
      </w:r>
      <w:r>
        <w:t xml:space="preserve">;</w:t>
      </w:r>
      <w:r>
        <w:t xml:space="preserve"> </w:t>
      </w:r>
      <w:r>
        <w:t xml:space="preserve">- Конкретный уровень устанавливается комиссией Заказчика на основании результатов классификации ИСПДн.</w:t>
      </w:r>
    </w:p>
    <w:p>
      <w:r>
        <w:pict>
          <v:rect style="width:0;height:1.5pt" o:hralign="center" o:hrstd="t" o:hr="t"/>
        </w:pict>
      </w:r>
    </w:p>
    <w:bookmarkEnd w:id="12"/>
    <w:bookmarkStart w:id="23" w:name="реализованные-меры-защиты"/>
    <w:p>
      <w:pPr>
        <w:pStyle w:val="Heading2"/>
      </w:pPr>
      <w:r>
        <w:t xml:space="preserve">3. РЕАЛИЗОВАННЫЕ МЕРЫ ЗАЩИТЫ</w:t>
      </w:r>
    </w:p>
    <w:bookmarkStart w:id="13" w:name="идентификация-и-аутентификация-иаф"/>
    <w:p>
      <w:pPr>
        <w:pStyle w:val="Heading3"/>
      </w:pPr>
      <w:r>
        <w:t xml:space="preserve">3.1. Идентификация и аутентификация (ИАФ)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 ФСТЭК (Приказ № 21)</w:t>
            </w:r>
          </w:p>
        </w:tc>
        <w:tc>
          <w:tcPr/>
          <w:p>
            <w:pPr>
              <w:pStyle w:val="Compact"/>
            </w:pPr>
            <w:r>
              <w:t xml:space="preserve">Реализация в «ПроРеестр»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ИАФ.1 — идентификация и аутентификация пользователей</w:t>
            </w:r>
          </w:p>
        </w:tc>
        <w:tc>
          <w:tcPr/>
          <w:p>
            <w:pPr>
              <w:pStyle w:val="Compact"/>
            </w:pPr>
            <w:r>
              <w:t xml:space="preserve">Логин + пароль для каждого сотрудника. Возможна интеграция с КЭП.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ИАФ.5 — защита аутентификационной информации</w:t>
            </w:r>
          </w:p>
        </w:tc>
        <w:tc>
          <w:tcPr/>
          <w:p>
            <w:pPr>
              <w:pStyle w:val="Compact"/>
            </w:pPr>
            <w:r>
              <w:t xml:space="preserve">Пароли хранятся в виде PBKDF2-SHA256 хешей с индивидуальной солью, 600 000 итераций. Использование пароля в открытом виде в БД невозможно.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ИАФ.6 — защита от подбора пароля</w:t>
            </w:r>
          </w:p>
        </w:tc>
        <w:tc>
          <w:tcPr/>
          <w:p>
            <w:pPr>
              <w:pStyle w:val="Compact"/>
            </w:pPr>
            <w:r>
              <w:t xml:space="preserve">Rate-limit: не более 5 неудачных попыток за 5 минут. После — блокировка IP на 15 минут.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ИАФ.7 — блокировка неактивной сессии</w:t>
            </w:r>
          </w:p>
        </w:tc>
        <w:tc>
          <w:tcPr/>
          <w:p>
            <w:pPr>
              <w:pStyle w:val="Compact"/>
            </w:pPr>
            <w:r>
              <w:t xml:space="preserve">Сессия пользователя истекает через 3 часа неактивности.</w:t>
            </w:r>
          </w:p>
        </w:tc>
      </w:tr>
    </w:tbl>
    <w:bookmarkEnd w:id="13"/>
    <w:bookmarkStart w:id="14" w:name="управление-доступом-упд"/>
    <w:p>
      <w:pPr>
        <w:pStyle w:val="Heading3"/>
      </w:pPr>
      <w:r>
        <w:t xml:space="preserve">3.2. Управление доступом (УПД)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УПД.1 — управление учётными записями</w:t>
            </w:r>
          </w:p>
        </w:tc>
        <w:tc>
          <w:tcPr/>
          <w:p>
            <w:pPr>
              <w:pStyle w:val="Compact"/>
            </w:pPr>
            <w:r>
              <w:t xml:space="preserve">Только администратор системы может создавать/блокировать учётные записи.</w:t>
            </w:r>
          </w:p>
        </w:tc>
      </w:tr>
      <w:tr>
        <w:tc>
          <w:tcPr/>
          <w:p>
            <w:pPr>
              <w:pStyle w:val="Compact"/>
            </w:pPr>
            <w:r>
              <w:t xml:space="preserve">УПД.2 — реализация необходимых методов</w:t>
            </w:r>
          </w:p>
        </w:tc>
        <w:tc>
          <w:tcPr/>
          <w:p>
            <w:pPr>
              <w:pStyle w:val="Compact"/>
            </w:pPr>
            <w:r>
              <w:t xml:space="preserve">Ролевая модель: «admin» (полный доступ), «employee» (доступ к своим письмам).</w:t>
            </w:r>
          </w:p>
        </w:tc>
      </w:tr>
      <w:tr>
        <w:tc>
          <w:tcPr/>
          <w:p>
            <w:pPr>
              <w:pStyle w:val="Compact"/>
            </w:pPr>
            <w:r>
              <w:t xml:space="preserve">УПД.4 — разделение полномочий</w:t>
            </w:r>
          </w:p>
        </w:tc>
        <w:tc>
          <w:tcPr/>
          <w:p>
            <w:pPr>
              <w:pStyle w:val="Compact"/>
            </w:pPr>
            <w:r>
              <w:t xml:space="preserve">Администратор не имеет автоматического доступа к контенту писем сотрудников.</w:t>
            </w:r>
          </w:p>
        </w:tc>
      </w:tr>
    </w:tbl>
    <w:bookmarkEnd w:id="14"/>
    <w:bookmarkStart w:id="15" w:name="защита-машинных-носителей-информации-зни"/>
    <w:p>
      <w:pPr>
        <w:pStyle w:val="Heading3"/>
      </w:pPr>
      <w:r>
        <w:t xml:space="preserve">3.3. Защита машинных носителей информации (ЗНИ)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ЗНИ.1 — учёт носителей</w:t>
            </w:r>
          </w:p>
        </w:tc>
        <w:tc>
          <w:tcPr/>
          <w:p>
            <w:pPr>
              <w:pStyle w:val="Compact"/>
            </w:pPr>
            <w:r>
              <w:t xml:space="preserve">Программа устанавливается на оборудование Заказчика, учёт носителей ведётся Заказчиком.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ЗНИ.2 — управление доступом к носителям</w:t>
            </w:r>
          </w:p>
        </w:tc>
        <w:tc>
          <w:tcPr/>
          <w:p>
            <w:pPr>
              <w:pStyle w:val="Compact"/>
            </w:pPr>
            <w:r>
              <w:t xml:space="preserve">На уровне ОС и аппаратной защиты Заказчика.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ЗНИ.7 — уничтожение информации</w:t>
            </w:r>
          </w:p>
        </w:tc>
        <w:tc>
          <w:tcPr/>
          <w:p>
            <w:pPr>
              <w:pStyle w:val="Compact"/>
            </w:pPr>
            <w:r>
              <w:t xml:space="preserve">Soft-delete + возможность периодической ротации БД.</w:t>
            </w:r>
          </w:p>
        </w:tc>
      </w:tr>
    </w:tbl>
    <w:bookmarkEnd w:id="15"/>
    <w:bookmarkStart w:id="16" w:name="регистрация-событий-безопасности-рсб"/>
    <w:p>
      <w:pPr>
        <w:pStyle w:val="Heading3"/>
      </w:pPr>
      <w:r>
        <w:t xml:space="preserve">3.4. Регистрация событий безопасности (РСБ)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РСБ.1 — определение событий</w:t>
            </w:r>
          </w:p>
        </w:tc>
        <w:tc>
          <w:tcPr/>
          <w:p>
            <w:pPr>
              <w:pStyle w:val="Compact"/>
            </w:pPr>
            <w:r>
              <w:t xml:space="preserve">Audit_log фиксирует: вход, неудачный вход, регистрация письма, изменение статуса, удаление, создание/изменение пользователя, экспорт данных.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РСБ.2 — состав регистрируемой информации</w:t>
            </w:r>
          </w:p>
        </w:tc>
        <w:tc>
          <w:tcPr/>
          <w:p>
            <w:pPr>
              <w:pStyle w:val="Compact"/>
            </w:pPr>
            <w:r>
              <w:t xml:space="preserve">Дата и время (точность 1 сек), идентификатор и имя пользователя, IP-адрес, тип действия, объект действия, дополнительные сведения.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РСБ.3 — сбор записей</w:t>
            </w:r>
          </w:p>
        </w:tc>
        <w:tc>
          <w:tcPr/>
          <w:p>
            <w:pPr>
              <w:pStyle w:val="Compact"/>
            </w:pPr>
            <w:r>
              <w:t xml:space="preserve">Все записи в одной таблице SQLite с индексацией для быстрой выборки.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РСБ.5 — мониторинг событий</w:t>
            </w:r>
          </w:p>
        </w:tc>
        <w:tc>
          <w:tcPr/>
          <w:p>
            <w:pPr>
              <w:pStyle w:val="Compact"/>
            </w:pPr>
            <w:r>
              <w:t xml:space="preserve">Возможность экспорта журнала в Excel за любой период.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РСБ.7 — защита журнала от удаления</w:t>
            </w:r>
          </w:p>
        </w:tc>
        <w:tc>
          <w:tcPr/>
          <w:p>
            <w:pPr>
              <w:pStyle w:val="Compact"/>
            </w:pPr>
            <w:r>
              <w:t xml:space="preserve">Записи журнала помечаются как защищённые, обычным пользователям удаление недоступно.</w:t>
            </w:r>
          </w:p>
        </w:tc>
      </w:tr>
    </w:tbl>
    <w:bookmarkEnd w:id="16"/>
    <w:bookmarkStart w:id="17" w:name="антивирусная-защита-авз"/>
    <w:p>
      <w:pPr>
        <w:pStyle w:val="Heading3"/>
      </w:pPr>
      <w:r>
        <w:t xml:space="preserve">3.5. Антивирусная защита (АВЗ)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АВЗ.1 — реализация средствами ОС</w:t>
            </w:r>
          </w:p>
        </w:tc>
        <w:tc>
          <w:tcPr/>
          <w:p>
            <w:pPr>
              <w:pStyle w:val="Compact"/>
            </w:pPr>
            <w:r>
              <w:t xml:space="preserve">Программа не имеет встроенного антивируса. Защита возложена на Заказчика (Kaspersky / Dr.Web / иной с сертификатом ФСТЭК).</w:t>
            </w:r>
          </w:p>
        </w:tc>
      </w:tr>
    </w:tbl>
    <w:bookmarkEnd w:id="17"/>
    <w:bookmarkStart w:id="18" w:name="контроль-защищённости-анз"/>
    <w:p>
      <w:pPr>
        <w:pStyle w:val="Heading3"/>
      </w:pPr>
      <w:r>
        <w:t xml:space="preserve">3.6. Контроль защищённости (АНЗ)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АНЗ.1 — выявление уязвимостей</w:t>
            </w:r>
          </w:p>
        </w:tc>
        <w:tc>
          <w:tcPr/>
          <w:p>
            <w:pPr>
              <w:pStyle w:val="Compact"/>
            </w:pPr>
            <w:r>
              <w:t xml:space="preserve">Регулярные обновления зависимостей (Flask, cryptography, SQLite — все из официальных репозиториев с активной поддержкой).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АНЗ.2 — контроль установки обновлений</w:t>
            </w:r>
          </w:p>
        </w:tc>
        <w:tc>
          <w:tcPr/>
          <w:p>
            <w:pPr>
              <w:pStyle w:val="Compact"/>
            </w:pPr>
            <w:r>
              <w:t xml:space="preserve">Обновления Программы поставляются через защищённый канал с цифровой подписью производителя.</w:t>
            </w:r>
          </w:p>
        </w:tc>
      </w:tr>
    </w:tbl>
    <w:bookmarkEnd w:id="18"/>
    <w:bookmarkStart w:id="19" w:name="защита-среды-виртуализации-зсв"/>
    <w:p>
      <w:pPr>
        <w:pStyle w:val="Heading3"/>
      </w:pPr>
      <w:r>
        <w:t xml:space="preserve">3.7. Защита среды виртуализации (ЗСВ)</w:t>
      </w:r>
    </w:p>
    <w:p>
      <w:pPr>
        <w:pStyle w:val="FirstParagraph"/>
      </w:pPr>
      <w:r>
        <w:t xml:space="preserve">Программа работает на физических серверах либо в виртуальных машинах. Защита виртуальной среды — задача Заказчика.</w:t>
      </w:r>
    </w:p>
    <w:bookmarkEnd w:id="19"/>
    <w:bookmarkStart w:id="20" w:name="защита-технических-средств-зтс"/>
    <w:p>
      <w:pPr>
        <w:pStyle w:val="Heading3"/>
      </w:pPr>
      <w:r>
        <w:t xml:space="preserve">3.8. Защита технических средств (ЗТС)</w:t>
      </w:r>
    </w:p>
    <w:p>
      <w:pPr>
        <w:pStyle w:val="FirstParagraph"/>
      </w:pPr>
      <w:r>
        <w:t xml:space="preserve">Программа предназначена для развёртывания на серверах Заказчика. Физическая защита (контролируемая зона, доступ только уполномоченных лиц) — обязанность Заказчика.</w:t>
      </w:r>
    </w:p>
    <w:bookmarkEnd w:id="20"/>
    <w:bookmarkStart w:id="21" w:name="Xdb79676a5371f0ec2fde297d40bd0121fb4fb20"/>
    <w:p>
      <w:pPr>
        <w:pStyle w:val="Heading3"/>
      </w:pPr>
      <w:r>
        <w:t xml:space="preserve">3.9. Защита информационной системы, её средств, систем связи и передачи данных (ЗИС)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Требование</w:t>
            </w:r>
          </w:p>
        </w:tc>
        <w:tc>
          <w:tcPr/>
          <w:p>
            <w:pPr>
              <w:pStyle w:val="Compact"/>
            </w:pPr>
            <w:r>
              <w:t xml:space="preserve">Реализация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ЗИС.1 — разделение функций администрирования и работы</w:t>
            </w:r>
          </w:p>
        </w:tc>
        <w:tc>
          <w:tcPr/>
          <w:p>
            <w:pPr>
              <w:pStyle w:val="Compact"/>
            </w:pPr>
            <w:r>
              <w:t xml:space="preserve">Администратор имеет отдельную учётную запись с расширенными правами.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ЗИС.3 — защита периметра</w:t>
            </w:r>
          </w:p>
        </w:tc>
        <w:tc>
          <w:tcPr/>
          <w:p>
            <w:pPr>
              <w:pStyle w:val="Compact"/>
            </w:pPr>
            <w:r>
              <w:t xml:space="preserve">Программа поддерживает работу только по HTTPS (TLS 1.2+).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ЗИС.5 — обнаружение вторжений</w:t>
            </w:r>
          </w:p>
        </w:tc>
        <w:tc>
          <w:tcPr/>
          <w:p>
            <w:pPr>
              <w:pStyle w:val="Compact"/>
            </w:pPr>
            <w:r>
              <w:t xml:space="preserve">На уровне инфраструктуры Заказчика (фаервол, IDS).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ЗИС.20 — защита от спама</w:t>
            </w:r>
          </w:p>
        </w:tc>
        <w:tc>
          <w:tcPr/>
          <w:p>
            <w:pPr>
              <w:pStyle w:val="Compact"/>
            </w:pPr>
            <w:r>
              <w:t xml:space="preserve">На уровне почтового сервера Заказчика.</w:t>
            </w:r>
          </w:p>
        </w:tc>
      </w:tr>
    </w:tbl>
    <w:bookmarkEnd w:id="21"/>
    <w:bookmarkStart w:id="22" w:name="криптографические-средства"/>
    <w:p>
      <w:pPr>
        <w:pStyle w:val="Heading3"/>
      </w:pPr>
      <w:r>
        <w:t xml:space="preserve">3.10. Криптографические средства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Назначение</w:t>
            </w:r>
          </w:p>
        </w:tc>
        <w:tc>
          <w:tcPr/>
          <w:p>
            <w:pPr>
              <w:pStyle w:val="Compact"/>
            </w:pPr>
            <w:r>
              <w:t xml:space="preserve">Алгоритм</w:t>
            </w:r>
          </w:p>
        </w:tc>
      </w:tr>
      <w:tr>
        <w:tc>
          <w:tcPr/>
          <w:p>
            <w:pPr>
              <w:pStyle w:val="Compact"/>
            </w:pPr>
            <w:r>
              <w:t xml:space="preserve">Хеширование паролей пользователей</w:t>
            </w:r>
          </w:p>
        </w:tc>
        <w:tc>
          <w:tcPr/>
          <w:p>
            <w:pPr>
              <w:pStyle w:val="Compact"/>
            </w:pPr>
            <w:r>
              <w:t xml:space="preserve">PBKDF2-HMAC-SHA256, 600 000 итераций</w:t>
            </w:r>
          </w:p>
        </w:tc>
      </w:tr>
      <w:tr>
        <w:tc>
          <w:tcPr/>
          <w:p>
            <w:pPr>
              <w:pStyle w:val="Compact"/>
            </w:pPr>
            <w:r>
              <w:t xml:space="preserve">Шифрование пароля почтового ящика в конфигурации</w:t>
            </w:r>
          </w:p>
        </w:tc>
        <w:tc>
          <w:tcPr/>
          <w:p>
            <w:pPr>
              <w:pStyle w:val="Compact"/>
            </w:pPr>
            <w:r>
              <w:t xml:space="preserve">Fernet (AES-128-CBC + HMAC-SHA256, RFC 4868)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Защита канала связи</w:t>
            </w:r>
          </w:p>
        </w:tc>
        <w:tc>
          <w:tcPr/>
          <w:p>
            <w:pPr>
              <w:pStyle w:val="Compact"/>
            </w:pPr>
            <w:r>
              <w:t xml:space="preserve">TLS 1.2+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Подпись и проверка обновлений ПО</w:t>
            </w:r>
          </w:p>
        </w:tc>
        <w:tc>
          <w:tcPr/>
          <w:p>
            <w:pPr>
              <w:pStyle w:val="Compact"/>
            </w:pPr>
            <w:r>
              <w:t xml:space="preserve">По цифровой подписи производителя</w:t>
            </w:r>
          </w:p>
        </w:tc>
      </w:tr>
    </w:tbl>
    <w:p>
      <w:pPr>
        <w:pStyle w:val="BlockText"/>
      </w:pPr>
      <w:r>
        <w:rPr>
          <w:b/>
          <w:bCs/>
        </w:rPr>
        <w:t xml:space="preserve">Важно:</w:t>
      </w:r>
      <w:r>
        <w:t xml:space="preserve"> </w:t>
      </w:r>
      <w:r>
        <w:t xml:space="preserve">реализованные алгоритмы (AES-128-CBC, SHA-256, PBKDF2) являются международными. Для систем, требующих</w:t>
      </w:r>
      <w:r>
        <w:t xml:space="preserve"> </w:t>
      </w:r>
      <w:r>
        <w:rPr>
          <w:b/>
          <w:bCs/>
        </w:rPr>
        <w:t xml:space="preserve">исключительно отечественной криптографии</w:t>
      </w:r>
      <w:r>
        <w:t xml:space="preserve"> </w:t>
      </w:r>
      <w:r>
        <w:t xml:space="preserve">(ГОСТ Р 34.11-2012, ГОСТ Р 34.12-2015), необходима интеграция с ПО КриптоПро или ВипНет — это услуга Корпоративного тарифа.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4" w:name="резервное-копирование-и-восстановление"/>
    <w:p>
      <w:pPr>
        <w:pStyle w:val="Heading2"/>
      </w:pPr>
      <w:r>
        <w:t xml:space="preserve">4. РЕЗЕРВНОЕ КОПИРОВАНИЕ И ВОССТАНОВЛЕНИЕ</w:t>
      </w:r>
    </w:p>
    <w:p>
      <w:pPr>
        <w:pStyle w:val="FirstParagraph"/>
      </w:pPr>
      <w:r>
        <w:t xml:space="preserve">4.1. Программа поддерживает автоматическое резервное копирование на:</w:t>
      </w:r>
      <w:r>
        <w:t xml:space="preserve"> </w:t>
      </w:r>
      <w:r>
        <w:t xml:space="preserve">- Локальный диск Заказчика;</w:t>
      </w:r>
      <w:r>
        <w:t xml:space="preserve"> </w:t>
      </w:r>
      <w:r>
        <w:t xml:space="preserve">- Сетевой диск (NFS/SMB);</w:t>
      </w:r>
      <w:r>
        <w:t xml:space="preserve"> </w:t>
      </w:r>
      <w:r>
        <w:t xml:space="preserve">- Облачное хранилище Яндекс.Диск (через API с авторизацией по OAuth-токену).</w:t>
      </w:r>
    </w:p>
    <w:p>
      <w:pPr>
        <w:pStyle w:val="BodyText"/>
      </w:pPr>
      <w:r>
        <w:t xml:space="preserve">4.2. Файлы резервных копий шифруются на стороне источника (опция).</w:t>
      </w:r>
    </w:p>
    <w:p>
      <w:pPr>
        <w:pStyle w:val="BodyText"/>
      </w:pPr>
      <w:r>
        <w:t xml:space="preserve">4.3. Восстановление: подмена файла</w:t>
      </w:r>
      <w:r>
        <w:t xml:space="preserve"> </w:t>
      </w:r>
      <w:r>
        <w:rPr>
          <w:rStyle w:val="VerbatimChar"/>
        </w:rPr>
        <w:t xml:space="preserve">mail_registry.db</w:t>
      </w:r>
      <w:r>
        <w:t xml:space="preserve"> </w:t>
      </w:r>
      <w:r>
        <w:t xml:space="preserve">на копию + перезапуск Программы. Время восстановления —</w:t>
      </w:r>
      <w:r>
        <w:t xml:space="preserve"> </w:t>
      </w:r>
      <w:r>
        <w:rPr>
          <w:b/>
          <w:bCs/>
        </w:rPr>
        <w:t xml:space="preserve">не более 10 минут</w:t>
      </w:r>
      <w:r>
        <w:t xml:space="preserve">.</w:t>
      </w:r>
    </w:p>
    <w:p>
      <w:pPr>
        <w:pStyle w:val="BodyText"/>
      </w:pPr>
      <w:r>
        <w:t xml:space="preserve">4.4. Рекомендуемая политика — правило</w:t>
      </w:r>
      <w:r>
        <w:t xml:space="preserve"> </w:t>
      </w:r>
      <w:r>
        <w:rPr>
          <w:b/>
          <w:bCs/>
        </w:rPr>
        <w:t xml:space="preserve">3-2-1</w:t>
      </w:r>
      <w:r>
        <w:t xml:space="preserve">: 3 копии данных на 2 разных носителях, 1 копия в географически удалённом месте.</w:t>
      </w:r>
    </w:p>
    <w:p>
      <w:r>
        <w:pict>
          <v:rect style="width:0;height:1.5pt" o:hralign="center" o:hrstd="t" o:hr="t"/>
        </w:pict>
      </w:r>
    </w:p>
    <w:bookmarkEnd w:id="24"/>
    <w:bookmarkStart w:id="25" w:name="X331aeff956a9bd366d343f153d0fd57d726a1d4"/>
    <w:p>
      <w:pPr>
        <w:pStyle w:val="Heading2"/>
      </w:pPr>
      <w:r>
        <w:t xml:space="preserve">5. ОТСУТСТВИЕ НЕДЕКЛАРИРОВАННЫХ ВОЗМОЖНОСТЕЙ</w:t>
      </w:r>
    </w:p>
    <w:p>
      <w:pPr>
        <w:pStyle w:val="FirstParagraph"/>
      </w:pPr>
      <w:r>
        <w:t xml:space="preserve">5.1. Программа разработана из открытых компонентов:</w:t>
      </w:r>
      <w:r>
        <w:t xml:space="preserve"> </w:t>
      </w:r>
      <w:r>
        <w:t xml:space="preserve">- Python (PSF License);</w:t>
      </w:r>
      <w:r>
        <w:t xml:space="preserve"> </w:t>
      </w:r>
      <w:r>
        <w:t xml:space="preserve">- Flask (BSD License);</w:t>
      </w:r>
      <w:r>
        <w:t xml:space="preserve"> </w:t>
      </w:r>
      <w:r>
        <w:t xml:space="preserve">- SQLite (Public Domain);</w:t>
      </w:r>
      <w:r>
        <w:t xml:space="preserve"> </w:t>
      </w:r>
      <w:r>
        <w:t xml:space="preserve">- cryptography (Apache 2.0 / BSD).</w:t>
      </w:r>
    </w:p>
    <w:p>
      <w:pPr>
        <w:pStyle w:val="BodyText"/>
      </w:pPr>
      <w:r>
        <w:t xml:space="preserve">5.2. Производитель готов</w:t>
      </w:r>
      <w:r>
        <w:t xml:space="preserve"> </w:t>
      </w:r>
      <w:r>
        <w:rPr>
          <w:b/>
          <w:bCs/>
        </w:rPr>
        <w:t xml:space="preserve">передать исходный код</w:t>
      </w:r>
      <w:r>
        <w:t xml:space="preserve"> </w:t>
      </w:r>
      <w:r>
        <w:t xml:space="preserve">Заказчику для аудита по запросу (за рамками тарифа Корпоративный — индивидуально).</w:t>
      </w:r>
    </w:p>
    <w:p>
      <w:pPr>
        <w:pStyle w:val="BodyText"/>
      </w:pPr>
      <w:r>
        <w:t xml:space="preserve">5.3.</w:t>
      </w:r>
      <w:r>
        <w:t xml:space="preserve"> </w:t>
      </w:r>
      <w:r>
        <w:rPr>
          <w:b/>
          <w:bCs/>
        </w:rPr>
        <w:t xml:space="preserve">В Программе не предусмотрены</w:t>
      </w:r>
      <w:r>
        <w:t xml:space="preserve">:</w:t>
      </w:r>
      <w:r>
        <w:t xml:space="preserve"> </w:t>
      </w:r>
      <w:r>
        <w:t xml:space="preserve">- Удалённый административный доступ для производителя без явного запроса Заказчика;</w:t>
      </w:r>
      <w:r>
        <w:t xml:space="preserve"> </w:t>
      </w:r>
      <w:r>
        <w:t xml:space="preserve">- Сбор телеметрии и отправка её внешним серверам;</w:t>
      </w:r>
      <w:r>
        <w:t xml:space="preserve"> </w:t>
      </w:r>
      <w:r>
        <w:t xml:space="preserve">- Скрытые каналы связи;</w:t>
      </w:r>
      <w:r>
        <w:t xml:space="preserve"> </w:t>
      </w:r>
      <w:r>
        <w:t xml:space="preserve">- Бэкдоры, отладочные интерфейсы в production-сборке.</w:t>
      </w:r>
    </w:p>
    <w:p>
      <w:r>
        <w:pict>
          <v:rect style="width:0;height:1.5pt" o:hralign="center" o:hrstd="t" o:hr="t"/>
        </w:pict>
      </w:r>
    </w:p>
    <w:bookmarkEnd w:id="25"/>
    <w:bookmarkStart w:id="26" w:name="Xf1985e41627ceef616557493c5216acd07eef91"/>
    <w:p>
      <w:pPr>
        <w:pStyle w:val="Heading2"/>
      </w:pPr>
      <w:r>
        <w:t xml:space="preserve">6. РЕКОМЕНДУЕМЫЕ МЕРЫ ЗАЩИТЫ НА СТОРОНЕ ЗАКАЗЧИКА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Мера</w:t>
            </w:r>
          </w:p>
        </w:tc>
        <w:tc>
          <w:tcPr/>
          <w:p>
            <w:pPr>
              <w:pStyle w:val="Compact"/>
            </w:pPr>
            <w:r>
              <w:t xml:space="preserve">Кто реализует</w:t>
            </w:r>
          </w:p>
        </w:tc>
        <w:tc>
          <w:tcPr/>
          <w:p>
            <w:pPr>
              <w:pStyle w:val="Compact"/>
            </w:pPr>
            <w:r>
              <w:t xml:space="preserve">Стоимость</w:t>
            </w:r>
          </w:p>
        </w:tc>
      </w:tr>
      <w:tr>
        <w:tc>
          <w:tcPr/>
          <w:p>
            <w:pPr>
              <w:pStyle w:val="Compact"/>
            </w:pPr>
            <w:r>
              <w:t xml:space="preserve">Антивирус с сертификатом ФСТЭК (Kaspersky / Dr.Web)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2 000–5 000 ₽/раб.место/год</w:t>
            </w:r>
          </w:p>
        </w:tc>
      </w:tr>
      <w:tr>
        <w:tc>
          <w:tcPr/>
          <w:p>
            <w:pPr>
              <w:pStyle w:val="Compact"/>
            </w:pPr>
            <w:r>
              <w:t xml:space="preserve">Фаервол (Windows Defender / iptables / pfSense)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бесплатно (встроенный)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Регулярные обновления ОС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бесплатно</w:t>
            </w:r>
          </w:p>
        </w:tc>
      </w:tr>
      <w:tr>
        <w:tc>
          <w:tcPr/>
          <w:p>
            <w:pPr>
              <w:pStyle w:val="Compact"/>
            </w:pPr>
            <w:r>
              <w:t xml:space="preserve">Контроль физического доступа к серверу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организационно</w:t>
            </w:r>
          </w:p>
        </w:tc>
      </w:tr>
      <w:tr>
        <w:tc>
          <w:tcPr/>
          <w:p>
            <w:pPr>
              <w:pStyle w:val="Compact"/>
            </w:pPr>
            <w:r>
              <w:t xml:space="preserve">Защищённый канал для удалённого администрирования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VPN, 0–500 ₽/мес</w:t>
            </w:r>
          </w:p>
        </w:tc>
      </w:tr>
      <w:tr>
        <w:tc>
          <w:tcPr/>
          <w:p>
            <w:pPr>
              <w:pStyle w:val="Compact"/>
            </w:pPr>
            <w:r>
              <w:t xml:space="preserve">Регулярное резервное копирование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бесплатно (Яндекс.Диск)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Двухфакторная аутентификация для администратора</w:t>
            </w:r>
          </w:p>
        </w:tc>
        <w:tc>
          <w:tcPr/>
          <w:p>
            <w:pPr>
              <w:pStyle w:val="Compact"/>
            </w:pPr>
            <w:r>
              <w:t xml:space="preserve">Заказчик</w:t>
            </w:r>
          </w:p>
        </w:tc>
        <w:tc>
          <w:tcPr/>
          <w:p>
            <w:pPr>
              <w:pStyle w:val="Compact"/>
            </w:pPr>
            <w:r>
              <w:t xml:space="preserve">бесплатно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соответствие-требованиям"/>
    <w:p>
      <w:pPr>
        <w:pStyle w:val="Heading2"/>
      </w:pPr>
      <w:r>
        <w:t xml:space="preserve">7. СООТВЕТСТВИЕ ТРЕБОВАНИЯМ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Закон / документ</w:t>
            </w:r>
          </w:p>
        </w:tc>
        <w:tc>
          <w:tcPr/>
          <w:p>
            <w:pPr>
              <w:pStyle w:val="Compact"/>
            </w:pPr>
            <w:r>
              <w:t xml:space="preserve">Соответствует</w:t>
            </w:r>
          </w:p>
        </w:tc>
      </w:tr>
      <w:tr>
        <w:tc>
          <w:tcPr/>
          <w:p>
            <w:pPr>
              <w:pStyle w:val="Compact"/>
            </w:pPr>
            <w:r>
              <w:t xml:space="preserve">Федеральный закон 152-ФЗ «О персональных данных»</w:t>
            </w:r>
          </w:p>
        </w:tc>
        <w:tc>
          <w:tcPr/>
          <w:p>
            <w:pPr>
              <w:pStyle w:val="Compact"/>
            </w:pPr>
            <w:r>
              <w:t xml:space="preserve">✅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Постановление Правительства РФ № 1119 (требования к защите ПД)</w:t>
            </w:r>
          </w:p>
        </w:tc>
        <w:tc>
          <w:tcPr/>
          <w:p>
            <w:pPr>
              <w:pStyle w:val="Compact"/>
            </w:pPr>
            <w:r>
              <w:t xml:space="preserve">✅ (для УЗ-3 и УЗ-4)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Приказ ФСТЭК России № 21 (организационные и технические меры)</w:t>
            </w:r>
          </w:p>
        </w:tc>
        <w:tc>
          <w:tcPr/>
          <w:p>
            <w:pPr>
              <w:pStyle w:val="Compact"/>
            </w:pPr>
            <w:r>
              <w:t xml:space="preserve">✅ (на уровне ПО)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Приказ ФСТЭК России № 17 (меры защиты для ГИС)</w:t>
            </w:r>
          </w:p>
        </w:tc>
        <w:tc>
          <w:tcPr/>
          <w:p>
            <w:pPr>
              <w:pStyle w:val="Compact"/>
            </w:pPr>
            <w:r>
              <w:t xml:space="preserve">✅ (на уровне ПО)</w:t>
            </w:r>
          </w:p>
        </w:tc>
      </w:tr>
      <w:tr>
        <w:tc>
          <w:tcPr/>
          <w:p>
            <w:pPr>
              <w:pStyle w:val="Compact"/>
            </w:pPr>
            <w:r>
              <w:t xml:space="preserve">ГОСТ Р 7.0.97-2016 (организационно-распорядительная документация)</w:t>
            </w:r>
          </w:p>
        </w:tc>
        <w:tc>
          <w:tcPr/>
          <w:p>
            <w:pPr>
              <w:pStyle w:val="Compact"/>
            </w:pPr>
            <w:r>
              <w:t xml:space="preserve">✅</w:t>
            </w:r>
          </w:p>
        </w:tc>
      </w:tr>
      <w:tr>
        <w:tc>
          <w:tcPr/>
          <w:p>
            <w:pPr>
              <w:pStyle w:val="Compact"/>
            </w:pPr>
            <w:r>
              <w:t xml:space="preserve">Федеральный закон 59-ФЗ (рассмотрение обращений граждан)</w:t>
            </w:r>
          </w:p>
        </w:tc>
        <w:tc>
          <w:tcPr/>
          <w:p>
            <w:pPr>
              <w:pStyle w:val="Compact"/>
            </w:pPr>
            <w:r>
              <w:t xml:space="preserve">✅ (контроль 30-дневного срока)</w:t>
            </w:r>
          </w:p>
        </w:tc>
      </w:tr>
      <w:tr>
        <w:tc>
          <w:tcPr/>
          <w:p>
            <w:pPr>
              <w:pStyle w:val="Compact"/>
            </w:pPr>
            <w:r>
              <w:t xml:space="preserve">Федеральный закон 63-ФЗ (электронная подпись)</w:t>
            </w:r>
          </w:p>
        </w:tc>
        <w:tc>
          <w:tcPr/>
          <w:p>
            <w:pPr>
              <w:pStyle w:val="Compact"/>
            </w:pPr>
            <w:r>
              <w:t xml:space="preserve">⚠️ (поддержка КЭП — опционально)</w:t>
            </w:r>
          </w:p>
        </w:tc>
      </w:tr>
      <w:tr>
        <w:tc>
          <w:tcPr/>
          <w:p>
            <w:pPr>
              <w:pStyle w:val="Compact"/>
            </w:pPr>
            <w:r>
              <w:t xml:space="preserve">Сертификация ФСТЭК на отсутствие НДВ</w:t>
            </w:r>
          </w:p>
        </w:tc>
        <w:tc>
          <w:tcPr/>
          <w:p>
            <w:pPr>
              <w:pStyle w:val="Compact"/>
            </w:pPr>
            <w:r>
              <w:t xml:space="preserve">⚠️ (не сертифицировано — для гос.тендеров может потребоваться отдельная сертификация)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информация-о-производителе"/>
    <w:p>
      <w:pPr>
        <w:pStyle w:val="Heading2"/>
      </w:pPr>
      <w:r>
        <w:t xml:space="preserve">8. ИНФОРМАЦИЯ О ПРОИЗВОДИТЕЛЕ</w:t>
      </w:r>
    </w:p>
    <w:p>
      <w:pPr>
        <w:pStyle w:val="FirstParagraph"/>
      </w:pPr>
      <w:r>
        <w:rPr>
          <w:b/>
          <w:bCs/>
        </w:rPr>
        <w:t xml:space="preserve">Индивидуальный предприниматель Галимов Ринат _________</w:t>
      </w:r>
      <w:r>
        <w:t xml:space="preserve"> </w:t>
      </w:r>
      <w:r>
        <w:t xml:space="preserve">ОГРНИП: ___________</w:t>
      </w:r>
      <w:r>
        <w:t xml:space="preserve"> </w:t>
      </w:r>
      <w:r>
        <w:t xml:space="preserve">ИНН: ___________</w:t>
      </w:r>
      <w:r>
        <w:t xml:space="preserve"> </w:t>
      </w:r>
      <w:r>
        <w:t xml:space="preserve">Адрес: ___________</w:t>
      </w:r>
      <w:r>
        <w:t xml:space="preserve"> </w:t>
      </w:r>
      <w:r>
        <w:t xml:space="preserve">Телефон: +7 (927) 725-62-32</w:t>
      </w:r>
      <w:r>
        <w:t xml:space="preserve"> </w:t>
      </w:r>
      <w:r>
        <w:t xml:space="preserve">Email: zenno.server@gmail.com</w:t>
      </w:r>
      <w:r>
        <w:t xml:space="preserve"> </w:t>
      </w:r>
      <w:r>
        <w:t xml:space="preserve">Сайт: https://прореестр.рф</w:t>
      </w:r>
    </w:p>
    <w:p>
      <w:pPr>
        <w:pStyle w:val="BodyText"/>
      </w:pPr>
      <w:r>
        <w:t xml:space="preserve">Документ актуален на «</w:t>
      </w:r>
      <w:r>
        <w:rPr>
          <w:b/>
          <w:bCs/>
          <w:i/>
          <w:iCs/>
        </w:rPr>
        <w:t xml:space="preserve">»</w:t>
      </w:r>
      <w:r>
        <w:rPr>
          <w:b/>
          <w:bCs/>
          <w:i/>
          <w:iCs/>
        </w:rPr>
        <w:t xml:space="preserve"> </w:t>
      </w:r>
      <w:r>
        <w:t xml:space="preserve">______ 2026 г.</w:t>
      </w:r>
    </w:p>
    <w:bookmarkEnd w:id="28"/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2026-04-28T08:46:35Z</dcterms:created>
  <dcterms:modified xsi:type="dcterms:W3CDTF">2026-04-28T08:46:35Z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